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B4138" w14:textId="77777777" w:rsidR="00AC410C" w:rsidRPr="00AC410C" w:rsidRDefault="00AC410C" w:rsidP="00AC410C">
      <w:pPr>
        <w:pStyle w:val="Heading1"/>
      </w:pPr>
      <w:r>
        <w:rPr>
          <w:bCs/>
          <w:noProof/>
          <w:lang w:val="pl"/>
        </w:rPr>
        <w:drawing>
          <wp:inline distT="0" distB="0" distL="0" distR="0" wp14:anchorId="67C46594" wp14:editId="7AD82A6D">
            <wp:extent cx="6858000" cy="2571750"/>
            <wp:effectExtent l="0" t="0" r="0" b="0"/>
            <wp:docPr id="1" name="Picture 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Image"/>
                    <pic:cNvPicPr/>
                  </pic:nvPicPr>
                  <pic:blipFill>
                    <a:blip r:embed="rId7">
                      <a:extLst>
                        <a:ext uri="{28A0092B-C50C-407E-A947-70E740481C1C}">
                          <a14:useLocalDpi xmlns:a14="http://schemas.microsoft.com/office/drawing/2010/main" val="0"/>
                        </a:ext>
                      </a:extLst>
                    </a:blip>
                    <a:stretch>
                      <a:fillRect/>
                    </a:stretch>
                  </pic:blipFill>
                  <pic:spPr>
                    <a:xfrm>
                      <a:off x="0" y="0"/>
                      <a:ext cx="6858000" cy="2571750"/>
                    </a:xfrm>
                    <a:prstGeom prst="rect">
                      <a:avLst/>
                    </a:prstGeom>
                  </pic:spPr>
                </pic:pic>
              </a:graphicData>
            </a:graphic>
          </wp:inline>
        </w:drawing>
      </w:r>
    </w:p>
    <w:p w14:paraId="2BC1FA48" w14:textId="77777777" w:rsidR="00AC410C" w:rsidRPr="00AC410C" w:rsidRDefault="00AC410C" w:rsidP="00AC410C">
      <w:pPr>
        <w:spacing w:after="120" w:line="240" w:lineRule="auto"/>
        <w:rPr>
          <w:rFonts w:ascii="Arial" w:hAnsi="Arial"/>
          <w:b/>
          <w:bCs/>
          <w:color w:val="523178"/>
          <w:sz w:val="28"/>
          <w:szCs w:val="28"/>
        </w:rPr>
      </w:pPr>
      <w:r>
        <w:rPr>
          <w:rFonts w:ascii="Arial" w:hAnsi="Arial"/>
          <w:b/>
          <w:bCs/>
          <w:color w:val="523178"/>
          <w:sz w:val="28"/>
          <w:szCs w:val="28"/>
          <w:lang w:val="pl"/>
        </w:rPr>
        <w:t>INFORMACJE DLA WYNAJMUJĄCYCH</w:t>
      </w:r>
    </w:p>
    <w:p w14:paraId="4BAB563A" w14:textId="1420E6BE" w:rsidR="00AC410C" w:rsidRPr="00DA7716" w:rsidRDefault="00AC410C" w:rsidP="00A82BBE">
      <w:pPr>
        <w:spacing w:after="0" w:line="240" w:lineRule="auto"/>
        <w:rPr>
          <w:rFonts w:ascii="Arial" w:hAnsi="Arial"/>
          <w:b/>
          <w:sz w:val="20"/>
          <w:szCs w:val="20"/>
          <w:lang w:val="pl"/>
        </w:rPr>
      </w:pPr>
      <w:r w:rsidRPr="00DA7716">
        <w:rPr>
          <w:rFonts w:ascii="Arial" w:hAnsi="Arial"/>
          <w:sz w:val="20"/>
          <w:szCs w:val="20"/>
          <w:lang w:val="pl"/>
        </w:rPr>
        <w:t>Wynajmujący</w:t>
      </w:r>
      <w:r w:rsidRPr="00DA7716">
        <w:rPr>
          <w:rFonts w:ascii="Arial" w:hAnsi="Arial"/>
          <w:b/>
          <w:bCs/>
          <w:sz w:val="20"/>
          <w:szCs w:val="20"/>
          <w:lang w:val="pl"/>
        </w:rPr>
        <w:t xml:space="preserve"> </w:t>
      </w:r>
      <w:r w:rsidRPr="00DA7716">
        <w:rPr>
          <w:rFonts w:ascii="Arial" w:hAnsi="Arial"/>
          <w:sz w:val="20"/>
          <w:szCs w:val="20"/>
          <w:lang w:val="pl"/>
        </w:rPr>
        <w:t>mogą otrzymać zaległy czynsz poprzez program pomocy</w:t>
      </w:r>
      <w:r w:rsidR="00DA7716" w:rsidRPr="00DA7716">
        <w:rPr>
          <w:rFonts w:ascii="Arial" w:hAnsi="Arial"/>
          <w:sz w:val="20"/>
          <w:szCs w:val="20"/>
          <w:lang w:val="pl"/>
        </w:rPr>
        <w:t xml:space="preserve"> w </w:t>
      </w:r>
      <w:r w:rsidRPr="00DA7716">
        <w:rPr>
          <w:rFonts w:ascii="Arial" w:hAnsi="Arial"/>
          <w:sz w:val="20"/>
          <w:szCs w:val="20"/>
          <w:lang w:val="pl"/>
        </w:rPr>
        <w:t>opłaceniu czynszu</w:t>
      </w:r>
      <w:r w:rsidR="00DA7716" w:rsidRPr="00DA7716">
        <w:rPr>
          <w:rFonts w:ascii="Arial" w:hAnsi="Arial"/>
          <w:sz w:val="20"/>
          <w:szCs w:val="20"/>
          <w:lang w:val="pl"/>
        </w:rPr>
        <w:t xml:space="preserve"> w </w:t>
      </w:r>
      <w:r w:rsidRPr="00DA7716">
        <w:rPr>
          <w:rFonts w:ascii="Arial" w:hAnsi="Arial"/>
          <w:sz w:val="20"/>
          <w:szCs w:val="20"/>
          <w:lang w:val="pl"/>
        </w:rPr>
        <w:t xml:space="preserve">sytuacji kryzysowej (Emergency Rental Assistance Program, ERAP) dla najemców zakwalifikowanych do tego programu. Właściciel nieruchomości może otrzymać do </w:t>
      </w:r>
      <w:r w:rsidRPr="00DA7716">
        <w:rPr>
          <w:rFonts w:ascii="Arial" w:hAnsi="Arial"/>
          <w:b/>
          <w:bCs/>
          <w:sz w:val="20"/>
          <w:szCs w:val="20"/>
          <w:lang w:val="pl"/>
        </w:rPr>
        <w:t>12 miesięcy zaległości</w:t>
      </w:r>
      <w:r w:rsidR="00DA7716" w:rsidRPr="00DA7716">
        <w:rPr>
          <w:rFonts w:ascii="Arial" w:hAnsi="Arial"/>
          <w:b/>
          <w:bCs/>
          <w:sz w:val="20"/>
          <w:szCs w:val="20"/>
          <w:lang w:val="pl"/>
        </w:rPr>
        <w:t xml:space="preserve"> w </w:t>
      </w:r>
      <w:r w:rsidRPr="00DA7716">
        <w:rPr>
          <w:rFonts w:ascii="Arial" w:hAnsi="Arial"/>
          <w:b/>
          <w:bCs/>
          <w:sz w:val="20"/>
          <w:szCs w:val="20"/>
          <w:lang w:val="pl"/>
        </w:rPr>
        <w:t>czynszu,</w:t>
      </w:r>
      <w:r w:rsidR="00DA7716" w:rsidRPr="00DA7716">
        <w:rPr>
          <w:rFonts w:ascii="Arial" w:hAnsi="Arial"/>
          <w:sz w:val="20"/>
          <w:szCs w:val="20"/>
          <w:lang w:val="pl"/>
        </w:rPr>
        <w:t xml:space="preserve"> </w:t>
      </w:r>
      <w:r w:rsidR="00DA7716" w:rsidRPr="00DA7716">
        <w:rPr>
          <w:rFonts w:ascii="Arial" w:hAnsi="Arial"/>
          <w:b/>
          <w:bCs/>
          <w:sz w:val="20"/>
          <w:szCs w:val="20"/>
          <w:lang w:val="pl"/>
        </w:rPr>
        <w:t>a</w:t>
      </w:r>
      <w:r w:rsidR="00DA7716" w:rsidRPr="00DA7716">
        <w:rPr>
          <w:rFonts w:ascii="Arial" w:hAnsi="Arial"/>
          <w:sz w:val="20"/>
          <w:szCs w:val="20"/>
          <w:lang w:val="pl"/>
        </w:rPr>
        <w:t> </w:t>
      </w:r>
      <w:r w:rsidR="00DA7716" w:rsidRPr="00DA7716">
        <w:rPr>
          <w:rFonts w:ascii="Arial" w:hAnsi="Arial"/>
          <w:b/>
          <w:bCs/>
          <w:sz w:val="20"/>
          <w:szCs w:val="20"/>
          <w:lang w:val="pl"/>
        </w:rPr>
        <w:t>w</w:t>
      </w:r>
      <w:r w:rsidR="00DA7716" w:rsidRPr="00DA7716">
        <w:rPr>
          <w:rFonts w:ascii="Arial" w:hAnsi="Arial"/>
          <w:sz w:val="20"/>
          <w:szCs w:val="20"/>
          <w:lang w:val="pl"/>
        </w:rPr>
        <w:t> </w:t>
      </w:r>
      <w:r w:rsidRPr="00DA7716">
        <w:rPr>
          <w:rFonts w:ascii="Arial" w:hAnsi="Arial"/>
          <w:b/>
          <w:bCs/>
          <w:sz w:val="20"/>
          <w:szCs w:val="20"/>
          <w:lang w:val="pl"/>
        </w:rPr>
        <w:t>przypadku niektórych gospodarstw domowych, może otrzymać do</w:t>
      </w:r>
      <w:r w:rsidR="00DA7716" w:rsidRPr="00DA7716">
        <w:rPr>
          <w:rFonts w:ascii="Arial" w:hAnsi="Arial"/>
          <w:b/>
          <w:bCs/>
          <w:sz w:val="20"/>
          <w:szCs w:val="20"/>
          <w:lang w:val="pl"/>
        </w:rPr>
        <w:t xml:space="preserve"> 3 </w:t>
      </w:r>
      <w:r w:rsidRPr="00DA7716">
        <w:rPr>
          <w:rFonts w:ascii="Arial" w:hAnsi="Arial"/>
          <w:b/>
          <w:bCs/>
          <w:sz w:val="20"/>
          <w:szCs w:val="20"/>
          <w:lang w:val="pl"/>
        </w:rPr>
        <w:t xml:space="preserve">miesięcy przyszłego czynszu. </w:t>
      </w:r>
    </w:p>
    <w:p w14:paraId="0717C026" w14:textId="77777777" w:rsidR="00AC410C" w:rsidRPr="00DA7716" w:rsidRDefault="00AC410C" w:rsidP="00AC410C">
      <w:pPr>
        <w:spacing w:after="0" w:line="240" w:lineRule="auto"/>
        <w:rPr>
          <w:rFonts w:ascii="Arial" w:hAnsi="Arial"/>
          <w:sz w:val="20"/>
          <w:szCs w:val="20"/>
          <w:lang w:val="pl"/>
        </w:rPr>
      </w:pPr>
    </w:p>
    <w:p w14:paraId="35331373" w14:textId="77777777" w:rsidR="00AC410C" w:rsidRPr="00DA7716" w:rsidRDefault="00AC410C" w:rsidP="00AC410C">
      <w:pPr>
        <w:spacing w:after="120" w:line="240" w:lineRule="auto"/>
        <w:rPr>
          <w:rFonts w:ascii="Arial" w:hAnsi="Arial"/>
          <w:b/>
          <w:bCs/>
          <w:color w:val="523178"/>
          <w:sz w:val="28"/>
          <w:szCs w:val="28"/>
          <w:lang w:val="pl"/>
        </w:rPr>
      </w:pPr>
      <w:r>
        <w:rPr>
          <w:rFonts w:ascii="Arial" w:hAnsi="Arial"/>
          <w:b/>
          <w:bCs/>
          <w:color w:val="523178"/>
          <w:sz w:val="28"/>
          <w:szCs w:val="28"/>
          <w:lang w:val="pl"/>
        </w:rPr>
        <w:t>APLIKOWANIE</w:t>
      </w:r>
    </w:p>
    <w:p w14:paraId="037DEB9D" w14:textId="33B80325" w:rsidR="00AC410C" w:rsidRPr="00DA7716" w:rsidRDefault="00AC410C" w:rsidP="00A82BBE">
      <w:pPr>
        <w:spacing w:after="0" w:line="240" w:lineRule="auto"/>
        <w:rPr>
          <w:rFonts w:ascii="Arial" w:hAnsi="Arial"/>
          <w:sz w:val="20"/>
          <w:szCs w:val="20"/>
          <w:lang w:val="pl"/>
        </w:rPr>
      </w:pPr>
      <w:r w:rsidRPr="00DA7716">
        <w:rPr>
          <w:rFonts w:ascii="Arial" w:hAnsi="Arial"/>
          <w:sz w:val="20"/>
          <w:szCs w:val="20"/>
          <w:lang w:val="pl"/>
        </w:rPr>
        <w:t>Wynajmujący mogą rozpocząć proces składania wniosku</w:t>
      </w:r>
      <w:r w:rsidR="00DA7716" w:rsidRPr="00DA7716">
        <w:rPr>
          <w:rFonts w:ascii="Arial" w:hAnsi="Arial"/>
          <w:sz w:val="20"/>
          <w:szCs w:val="20"/>
          <w:lang w:val="pl"/>
        </w:rPr>
        <w:t xml:space="preserve"> i </w:t>
      </w:r>
      <w:r w:rsidRPr="00DA7716">
        <w:rPr>
          <w:rFonts w:ascii="Arial" w:hAnsi="Arial"/>
          <w:sz w:val="20"/>
          <w:szCs w:val="20"/>
          <w:lang w:val="pl"/>
        </w:rPr>
        <w:t>dostarczyć wymagane informacji odnośnie najemcy online. Jeżeli wynajmujący zainicjuje składanie wniosku, do najemcy zostanie wysłane powiadomienie, że proces składania wniosku został rozpoczęty</w:t>
      </w:r>
      <w:r w:rsidR="00DA7716" w:rsidRPr="00DA7716">
        <w:rPr>
          <w:rFonts w:ascii="Arial" w:hAnsi="Arial"/>
          <w:sz w:val="20"/>
          <w:szCs w:val="20"/>
          <w:lang w:val="pl"/>
        </w:rPr>
        <w:t xml:space="preserve"> i </w:t>
      </w:r>
      <w:r w:rsidRPr="00DA7716">
        <w:rPr>
          <w:rFonts w:ascii="Arial" w:hAnsi="Arial"/>
          <w:sz w:val="20"/>
          <w:szCs w:val="20"/>
          <w:lang w:val="pl"/>
        </w:rPr>
        <w:t>zostanie on poproszony</w:t>
      </w:r>
      <w:r w:rsidR="00DA7716" w:rsidRPr="00DA7716">
        <w:rPr>
          <w:rFonts w:ascii="Arial" w:hAnsi="Arial"/>
          <w:sz w:val="20"/>
          <w:szCs w:val="20"/>
          <w:lang w:val="pl"/>
        </w:rPr>
        <w:t xml:space="preserve"> o </w:t>
      </w:r>
      <w:r w:rsidRPr="00DA7716">
        <w:rPr>
          <w:rFonts w:ascii="Arial" w:hAnsi="Arial"/>
          <w:sz w:val="20"/>
          <w:szCs w:val="20"/>
          <w:lang w:val="pl"/>
        </w:rPr>
        <w:t>uzupełnienie wszelkich dotyczących go informacji. Wynajmujący nie może wypełnić całego wniosku</w:t>
      </w:r>
      <w:r w:rsidR="00DA7716" w:rsidRPr="00DA7716">
        <w:rPr>
          <w:rFonts w:ascii="Arial" w:hAnsi="Arial"/>
          <w:sz w:val="20"/>
          <w:szCs w:val="20"/>
          <w:lang w:val="pl"/>
        </w:rPr>
        <w:t xml:space="preserve"> w </w:t>
      </w:r>
      <w:r w:rsidRPr="00DA7716">
        <w:rPr>
          <w:rFonts w:ascii="Arial" w:hAnsi="Arial"/>
          <w:sz w:val="20"/>
          <w:szCs w:val="20"/>
          <w:lang w:val="pl"/>
        </w:rPr>
        <w:t>imieniu najemcy; najemca musi co najmniej podpisać</w:t>
      </w:r>
      <w:r w:rsidR="00DA7716" w:rsidRPr="00DA7716">
        <w:rPr>
          <w:rFonts w:ascii="Arial" w:hAnsi="Arial"/>
          <w:sz w:val="20"/>
          <w:szCs w:val="20"/>
          <w:lang w:val="pl"/>
        </w:rPr>
        <w:t xml:space="preserve"> i </w:t>
      </w:r>
      <w:r w:rsidRPr="00DA7716">
        <w:rPr>
          <w:rFonts w:ascii="Arial" w:hAnsi="Arial"/>
          <w:sz w:val="20"/>
          <w:szCs w:val="20"/>
          <w:lang w:val="pl"/>
        </w:rPr>
        <w:t>poświadczyć, że informacje zawarte we wniosku są dokładne.</w:t>
      </w:r>
    </w:p>
    <w:p w14:paraId="10C4886E" w14:textId="77777777" w:rsidR="00AC410C" w:rsidRPr="00DA7716" w:rsidRDefault="00AC410C" w:rsidP="00AC410C">
      <w:pPr>
        <w:spacing w:after="0" w:line="240" w:lineRule="auto"/>
        <w:rPr>
          <w:rFonts w:ascii="Arial" w:hAnsi="Arial"/>
          <w:sz w:val="20"/>
          <w:szCs w:val="20"/>
          <w:lang w:val="pl"/>
        </w:rPr>
      </w:pPr>
    </w:p>
    <w:p w14:paraId="5EB2A5BF" w14:textId="77777777" w:rsidR="00AC410C" w:rsidRPr="00DA7716" w:rsidRDefault="00AC410C" w:rsidP="00AC410C">
      <w:pPr>
        <w:rPr>
          <w:lang w:val="pl"/>
        </w:rPr>
        <w:sectPr w:rsidR="00AC410C" w:rsidRPr="00DA7716" w:rsidSect="00AC410C">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pPr>
    </w:p>
    <w:p w14:paraId="068D7CA9" w14:textId="77777777" w:rsidR="00AC410C" w:rsidRPr="00DA7716" w:rsidRDefault="00AC410C" w:rsidP="00AC410C">
      <w:pPr>
        <w:pStyle w:val="Heading2"/>
        <w:rPr>
          <w:lang w:val="pl"/>
        </w:rPr>
      </w:pPr>
      <w:r>
        <w:rPr>
          <w:lang w:val="pl"/>
        </w:rPr>
        <w:t>JAK TO DZIAŁA?</w:t>
      </w:r>
    </w:p>
    <w:p w14:paraId="7CF424ED" w14:textId="49F17322" w:rsidR="00AC410C" w:rsidRPr="00DA7716" w:rsidRDefault="00AC410C" w:rsidP="00AC410C">
      <w:pPr>
        <w:rPr>
          <w:rFonts w:ascii="Arial" w:hAnsi="Arial"/>
          <w:sz w:val="20"/>
          <w:szCs w:val="20"/>
          <w:lang w:val="pl"/>
        </w:rPr>
      </w:pPr>
      <w:r w:rsidRPr="00DA7716">
        <w:rPr>
          <w:rFonts w:ascii="Arial" w:hAnsi="Arial"/>
          <w:sz w:val="20"/>
          <w:szCs w:val="20"/>
          <w:lang w:val="pl"/>
        </w:rPr>
        <w:t>Wynajmujący może</w:t>
      </w:r>
      <w:r w:rsidRPr="00DA7716">
        <w:rPr>
          <w:rFonts w:ascii="Arial" w:hAnsi="Arial"/>
          <w:b/>
          <w:bCs/>
          <w:sz w:val="20"/>
          <w:szCs w:val="20"/>
          <w:lang w:val="pl"/>
        </w:rPr>
        <w:t xml:space="preserve"> </w:t>
      </w:r>
      <w:r w:rsidRPr="00DA7716">
        <w:rPr>
          <w:rFonts w:ascii="Arial" w:hAnsi="Arial"/>
          <w:sz w:val="20"/>
          <w:szCs w:val="20"/>
          <w:lang w:val="pl"/>
        </w:rPr>
        <w:t>otrzymać do 12 miesięcy zaległości</w:t>
      </w:r>
      <w:r w:rsidR="00DA7716" w:rsidRPr="00DA7716">
        <w:rPr>
          <w:rFonts w:ascii="Arial" w:hAnsi="Arial"/>
          <w:sz w:val="20"/>
          <w:szCs w:val="20"/>
          <w:lang w:val="pl"/>
        </w:rPr>
        <w:t xml:space="preserve"> w </w:t>
      </w:r>
      <w:r w:rsidRPr="00DA7716">
        <w:rPr>
          <w:rFonts w:ascii="Arial" w:hAnsi="Arial"/>
          <w:sz w:val="20"/>
          <w:szCs w:val="20"/>
          <w:lang w:val="pl"/>
        </w:rPr>
        <w:t>czynszu,</w:t>
      </w:r>
      <w:r w:rsidR="00DA7716" w:rsidRPr="00DA7716">
        <w:rPr>
          <w:rFonts w:ascii="Arial" w:hAnsi="Arial"/>
          <w:sz w:val="20"/>
          <w:szCs w:val="20"/>
          <w:lang w:val="pl"/>
        </w:rPr>
        <w:t xml:space="preserve"> a w </w:t>
      </w:r>
      <w:r w:rsidRPr="00DA7716">
        <w:rPr>
          <w:rFonts w:ascii="Arial" w:hAnsi="Arial"/>
          <w:sz w:val="20"/>
          <w:szCs w:val="20"/>
          <w:lang w:val="pl"/>
        </w:rPr>
        <w:t>przypadku niektórych gospodarstw domowych, może otrzymać do</w:t>
      </w:r>
      <w:r w:rsidR="00DA7716" w:rsidRPr="00DA7716">
        <w:rPr>
          <w:rFonts w:ascii="Arial" w:hAnsi="Arial"/>
          <w:sz w:val="20"/>
          <w:szCs w:val="20"/>
          <w:lang w:val="pl"/>
        </w:rPr>
        <w:t xml:space="preserve"> 3 </w:t>
      </w:r>
      <w:r w:rsidRPr="00DA7716">
        <w:rPr>
          <w:rFonts w:ascii="Arial" w:hAnsi="Arial"/>
          <w:sz w:val="20"/>
          <w:szCs w:val="20"/>
          <w:lang w:val="pl"/>
        </w:rPr>
        <w:t>miesięcy przyszłego czynszu. Należy pamiętać, że</w:t>
      </w:r>
      <w:r w:rsidR="00DA7716" w:rsidRPr="00DA7716">
        <w:rPr>
          <w:rFonts w:ascii="Arial" w:hAnsi="Arial"/>
          <w:sz w:val="20"/>
          <w:szCs w:val="20"/>
          <w:lang w:val="pl"/>
        </w:rPr>
        <w:t> </w:t>
      </w:r>
      <w:r w:rsidRPr="00DA7716">
        <w:rPr>
          <w:rFonts w:ascii="Arial" w:hAnsi="Arial"/>
          <w:sz w:val="20"/>
          <w:szCs w:val="20"/>
          <w:lang w:val="pl"/>
        </w:rPr>
        <w:t>płatności będą zawsze wydawane bezpośrednio właścicielowi mieszkania.</w:t>
      </w:r>
    </w:p>
    <w:p w14:paraId="3D398784" w14:textId="334A7E32" w:rsidR="00AC410C" w:rsidRPr="00DA7716" w:rsidRDefault="00AC410C" w:rsidP="00AC410C">
      <w:pPr>
        <w:spacing w:after="120" w:line="240" w:lineRule="auto"/>
        <w:rPr>
          <w:rFonts w:ascii="Arial" w:hAnsi="Arial"/>
          <w:sz w:val="20"/>
          <w:szCs w:val="20"/>
          <w:lang w:val="pl"/>
        </w:rPr>
      </w:pPr>
      <w:r w:rsidRPr="00DA7716">
        <w:rPr>
          <w:rFonts w:ascii="Arial" w:hAnsi="Arial"/>
          <w:sz w:val="20"/>
          <w:szCs w:val="20"/>
          <w:lang w:val="pl"/>
        </w:rPr>
        <w:t>Jako warunek otrzymania płatności</w:t>
      </w:r>
      <w:r w:rsidR="00DA7716" w:rsidRPr="00DA7716">
        <w:rPr>
          <w:rFonts w:ascii="Arial" w:hAnsi="Arial"/>
          <w:sz w:val="20"/>
          <w:szCs w:val="20"/>
          <w:lang w:val="pl"/>
        </w:rPr>
        <w:t xml:space="preserve"> w </w:t>
      </w:r>
      <w:r w:rsidRPr="00DA7716">
        <w:rPr>
          <w:rFonts w:ascii="Arial" w:hAnsi="Arial"/>
          <w:sz w:val="20"/>
          <w:szCs w:val="20"/>
          <w:lang w:val="pl"/>
        </w:rPr>
        <w:t xml:space="preserve">ramach programu ERAP wynajmujący musi wyrazić zgodę na to, że płatność ta zaspokaja pełne zobowiązanie czynszowe najemcy za okres objęty płatnością ERAP. Dodatkowe informacje na temat programu oraz warunki otrzymania płatności ERAP są dostępne na stronie otda.ny.gov/ERAP. </w:t>
      </w:r>
    </w:p>
    <w:p w14:paraId="6310B0B0" w14:textId="77777777" w:rsidR="00AC410C" w:rsidRPr="00DA7716" w:rsidRDefault="00AC410C" w:rsidP="00A82BBE">
      <w:pPr>
        <w:tabs>
          <w:tab w:val="left" w:pos="4950"/>
        </w:tabs>
        <w:spacing w:after="0"/>
        <w:rPr>
          <w:rFonts w:ascii="Arial" w:hAnsi="Arial"/>
          <w:sz w:val="20"/>
          <w:szCs w:val="20"/>
          <w:lang w:val="pl"/>
        </w:rPr>
      </w:pPr>
    </w:p>
    <w:p w14:paraId="125732B2" w14:textId="77777777" w:rsidR="00AC410C" w:rsidRPr="00DA7716" w:rsidRDefault="00AC410C" w:rsidP="00AC410C">
      <w:pPr>
        <w:rPr>
          <w:rFonts w:ascii="Arial" w:hAnsi="Arial"/>
          <w:b/>
          <w:bCs/>
          <w:sz w:val="20"/>
          <w:szCs w:val="20"/>
          <w:lang w:val="pl"/>
        </w:rPr>
      </w:pPr>
      <w:r w:rsidRPr="00DA7716">
        <w:rPr>
          <w:rFonts w:ascii="Arial" w:hAnsi="Arial"/>
          <w:b/>
          <w:bCs/>
          <w:sz w:val="20"/>
          <w:szCs w:val="20"/>
          <w:lang w:val="pl"/>
        </w:rPr>
        <w:t xml:space="preserve">Wnioski można składać online na stronie </w:t>
      </w:r>
      <w:hyperlink r:id="rId14" w:history="1">
        <w:r w:rsidRPr="00DA7716">
          <w:rPr>
            <w:rStyle w:val="Hyperlink"/>
            <w:rFonts w:ascii="Arial" w:hAnsi="Arial"/>
            <w:b/>
            <w:bCs/>
            <w:sz w:val="20"/>
            <w:szCs w:val="20"/>
            <w:lang w:val="pl"/>
          </w:rPr>
          <w:t>nysrenthelp.otda.ny.gov</w:t>
        </w:r>
      </w:hyperlink>
      <w:r w:rsidRPr="00970E6E">
        <w:rPr>
          <w:rFonts w:ascii="Arial" w:hAnsi="Arial"/>
          <w:b/>
          <w:bCs/>
          <w:sz w:val="20"/>
          <w:szCs w:val="20"/>
          <w:lang w:val="pl"/>
        </w:rPr>
        <w:t>.</w:t>
      </w:r>
    </w:p>
    <w:tbl>
      <w:tblPr>
        <w:tblStyle w:val="TableGrid"/>
        <w:tblW w:w="4760" w:type="dxa"/>
        <w:tblInd w:w="240" w:type="dxa"/>
        <w:tblBorders>
          <w:top w:val="none" w:sz="0" w:space="0" w:color="auto"/>
          <w:left w:val="none" w:sz="0" w:space="0" w:color="auto"/>
          <w:bottom w:val="none" w:sz="0" w:space="0" w:color="auto"/>
          <w:right w:val="none" w:sz="0" w:space="0" w:color="auto"/>
          <w:insideH w:val="single" w:sz="24" w:space="0" w:color="D9D9D9" w:themeColor="background1" w:themeShade="D9"/>
        </w:tblBorders>
        <w:tblLook w:val="04A0" w:firstRow="1" w:lastRow="0" w:firstColumn="1" w:lastColumn="0" w:noHBand="0" w:noVBand="1"/>
      </w:tblPr>
      <w:tblGrid>
        <w:gridCol w:w="4760"/>
      </w:tblGrid>
      <w:tr w:rsidR="00AC410C" w:rsidRPr="00DA7716" w14:paraId="67507E1B" w14:textId="77777777" w:rsidTr="0083347E">
        <w:trPr>
          <w:trHeight w:val="3603"/>
        </w:trPr>
        <w:tc>
          <w:tcPr>
            <w:tcW w:w="4760"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36409993" w14:textId="77777777" w:rsidR="00AC410C" w:rsidRPr="00DA7716" w:rsidRDefault="00AC410C" w:rsidP="0083347E">
            <w:pPr>
              <w:rPr>
                <w:rFonts w:ascii="Arial" w:hAnsi="Arial"/>
              </w:rPr>
            </w:pPr>
            <w:r w:rsidRPr="00DA7716">
              <w:rPr>
                <w:rFonts w:ascii="Arial" w:hAnsi="Arial"/>
              </w:rPr>
              <w:t>[Insert logo and contact info here]</w:t>
            </w:r>
          </w:p>
        </w:tc>
      </w:tr>
    </w:tbl>
    <w:p w14:paraId="1602CC9E" w14:textId="77777777" w:rsidR="00AC410C" w:rsidRPr="00AC410C" w:rsidRDefault="00AC410C" w:rsidP="00A82BBE">
      <w:pPr>
        <w:spacing w:after="0"/>
      </w:pPr>
    </w:p>
    <w:p w14:paraId="04709814" w14:textId="77777777" w:rsidR="00AC410C" w:rsidRPr="00AC410C" w:rsidRDefault="00AC410C" w:rsidP="00AC410C"/>
    <w:p w14:paraId="6E86E019" w14:textId="77777777" w:rsidR="00AC410C" w:rsidRPr="00AC410C" w:rsidRDefault="00AC410C" w:rsidP="00AC410C">
      <w:pPr>
        <w:sectPr w:rsidR="00AC410C" w:rsidRPr="00AC410C" w:rsidSect="004F6C6E">
          <w:type w:val="continuous"/>
          <w:pgSz w:w="12240" w:h="15840"/>
          <w:pgMar w:top="720" w:right="720" w:bottom="720" w:left="720" w:header="720" w:footer="720" w:gutter="0"/>
          <w:cols w:num="2" w:space="180"/>
          <w:docGrid w:linePitch="360"/>
        </w:sectPr>
      </w:pPr>
    </w:p>
    <w:p w14:paraId="5C578B9E" w14:textId="47501F0F" w:rsidR="00D64454" w:rsidRPr="00AC410C" w:rsidRDefault="00AC410C" w:rsidP="00AC410C">
      <w:pPr>
        <w:spacing w:before="240" w:after="480" w:line="240" w:lineRule="auto"/>
        <w:rPr>
          <w:rFonts w:ascii="Arial" w:hAnsi="Arial"/>
          <w:sz w:val="16"/>
          <w:szCs w:val="16"/>
        </w:rPr>
      </w:pPr>
      <w:r>
        <w:rPr>
          <w:rFonts w:ascii="Arial" w:hAnsi="Arial"/>
          <w:noProof/>
          <w:sz w:val="16"/>
          <w:szCs w:val="16"/>
          <w:lang w:val="pl"/>
        </w:rPr>
        <w:drawing>
          <wp:inline distT="0" distB="0" distL="0" distR="0" wp14:anchorId="7E74EF6A" wp14:editId="2C6C506A">
            <wp:extent cx="6858000" cy="688848"/>
            <wp:effectExtent l="0" t="0" r="0" b="0"/>
            <wp:docPr id="3" name="Picture 3" descr="Informational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formational Footer Imag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858000" cy="688848"/>
                    </a:xfrm>
                    <a:prstGeom prst="rect">
                      <a:avLst/>
                    </a:prstGeom>
                    <a:noFill/>
                  </pic:spPr>
                </pic:pic>
              </a:graphicData>
            </a:graphic>
          </wp:inline>
        </w:drawing>
      </w:r>
      <w:r>
        <w:rPr>
          <w:rFonts w:ascii="Arial" w:hAnsi="Arial"/>
          <w:sz w:val="16"/>
          <w:szCs w:val="16"/>
          <w:lang w:val="pl"/>
        </w:rPr>
        <w:t>(Rev. 08/21)</w:t>
      </w:r>
    </w:p>
    <w:sectPr w:rsidR="00D64454" w:rsidRPr="00AC410C" w:rsidSect="00851FDD">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B1AC3" w14:textId="77777777" w:rsidR="00E37759" w:rsidRDefault="00E37759" w:rsidP="00E37759">
      <w:pPr>
        <w:spacing w:after="0" w:line="240" w:lineRule="auto"/>
      </w:pPr>
      <w:r>
        <w:separator/>
      </w:r>
    </w:p>
  </w:endnote>
  <w:endnote w:type="continuationSeparator" w:id="0">
    <w:p w14:paraId="097B896F" w14:textId="77777777" w:rsidR="00E37759" w:rsidRDefault="00E37759" w:rsidP="00E3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7A82C" w14:textId="77777777" w:rsidR="00AC410C" w:rsidRDefault="00AC4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AED07" w14:textId="77777777" w:rsidR="00AC410C" w:rsidRDefault="00AC4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A7511" w14:textId="77777777" w:rsidR="00AC410C" w:rsidRDefault="00AC41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0B3C8" w14:textId="77777777" w:rsidR="00AC410C" w:rsidRDefault="00AC41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C79FC" w14:textId="77777777" w:rsidR="00AC410C" w:rsidRDefault="00AC41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67B4C" w14:textId="77777777" w:rsidR="00AC410C" w:rsidRDefault="00AC4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8F15C" w14:textId="77777777" w:rsidR="00E37759" w:rsidRDefault="00E37759" w:rsidP="00E37759">
      <w:pPr>
        <w:spacing w:after="0" w:line="240" w:lineRule="auto"/>
      </w:pPr>
      <w:r>
        <w:separator/>
      </w:r>
    </w:p>
  </w:footnote>
  <w:footnote w:type="continuationSeparator" w:id="0">
    <w:p w14:paraId="7CBDCB2F" w14:textId="77777777" w:rsidR="00E37759" w:rsidRDefault="00E37759" w:rsidP="00E3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09ED0" w14:textId="77777777" w:rsidR="00AC410C" w:rsidRDefault="00AC4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F8B8" w14:textId="77777777" w:rsidR="00AC410C" w:rsidRDefault="00AC4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84679" w14:textId="77777777" w:rsidR="00AC410C" w:rsidRDefault="00AC41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93BE4" w14:textId="77777777" w:rsidR="00AC410C" w:rsidRDefault="00AC41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EE19A" w14:textId="77777777" w:rsidR="00AC410C" w:rsidRDefault="00AC41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923E1" w14:textId="77777777" w:rsidR="00AC410C" w:rsidRDefault="00AC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C4501"/>
    <w:multiLevelType w:val="hybridMultilevel"/>
    <w:tmpl w:val="EC34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52"/>
    <w:rsid w:val="00013D1B"/>
    <w:rsid w:val="00017929"/>
    <w:rsid w:val="00040F3A"/>
    <w:rsid w:val="001A42B7"/>
    <w:rsid w:val="001C0A8F"/>
    <w:rsid w:val="001D7AAC"/>
    <w:rsid w:val="001F1E36"/>
    <w:rsid w:val="002565E4"/>
    <w:rsid w:val="002962C3"/>
    <w:rsid w:val="0033438B"/>
    <w:rsid w:val="003416B5"/>
    <w:rsid w:val="003A3C63"/>
    <w:rsid w:val="003A60CF"/>
    <w:rsid w:val="003C6F64"/>
    <w:rsid w:val="003F663A"/>
    <w:rsid w:val="004046F5"/>
    <w:rsid w:val="0042243F"/>
    <w:rsid w:val="004E1EF4"/>
    <w:rsid w:val="004E6ACE"/>
    <w:rsid w:val="004F6C6E"/>
    <w:rsid w:val="005365FF"/>
    <w:rsid w:val="005442B6"/>
    <w:rsid w:val="0061278C"/>
    <w:rsid w:val="00625791"/>
    <w:rsid w:val="006D4625"/>
    <w:rsid w:val="007102BD"/>
    <w:rsid w:val="00781F0E"/>
    <w:rsid w:val="007911E5"/>
    <w:rsid w:val="007A5C1A"/>
    <w:rsid w:val="007B7E29"/>
    <w:rsid w:val="007D7D77"/>
    <w:rsid w:val="0080282A"/>
    <w:rsid w:val="00851FDD"/>
    <w:rsid w:val="00860252"/>
    <w:rsid w:val="00886D5E"/>
    <w:rsid w:val="008F07C3"/>
    <w:rsid w:val="00970C11"/>
    <w:rsid w:val="00970E6E"/>
    <w:rsid w:val="00996A34"/>
    <w:rsid w:val="00A253A5"/>
    <w:rsid w:val="00A82BBE"/>
    <w:rsid w:val="00A83DF1"/>
    <w:rsid w:val="00AB5D0A"/>
    <w:rsid w:val="00AC410C"/>
    <w:rsid w:val="00AD058B"/>
    <w:rsid w:val="00AF31C4"/>
    <w:rsid w:val="00B9762E"/>
    <w:rsid w:val="00BC358B"/>
    <w:rsid w:val="00CC4378"/>
    <w:rsid w:val="00CD6AD9"/>
    <w:rsid w:val="00D64454"/>
    <w:rsid w:val="00D71049"/>
    <w:rsid w:val="00D80774"/>
    <w:rsid w:val="00DA7716"/>
    <w:rsid w:val="00DF2FE8"/>
    <w:rsid w:val="00DF5754"/>
    <w:rsid w:val="00E30E46"/>
    <w:rsid w:val="00E37759"/>
    <w:rsid w:val="00EB4888"/>
    <w:rsid w:val="00ED3EDC"/>
    <w:rsid w:val="00F22FED"/>
    <w:rsid w:val="00F26FD5"/>
    <w:rsid w:val="00F445B2"/>
    <w:rsid w:val="00F475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B468"/>
  <w15:chartTrackingRefBased/>
  <w15:docId w15:val="{8FD1C60E-8AD8-4E2E-8290-A08205C2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FDD"/>
    <w:pPr>
      <w:keepNext/>
      <w:keepLines/>
      <w:spacing w:after="240" w:line="240" w:lineRule="auto"/>
      <w:outlineLvl w:val="0"/>
    </w:pPr>
    <w:rPr>
      <w:rFonts w:ascii="Arial" w:eastAsiaTheme="majorEastAsia" w:hAnsi="Arial"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851FDD"/>
    <w:pPr>
      <w:spacing w:after="120" w:line="240" w:lineRule="auto"/>
      <w:outlineLvl w:val="1"/>
    </w:pPr>
    <w:rPr>
      <w:rFonts w:ascii="Arial" w:hAnsi="Arial"/>
      <w:b/>
      <w:bCs/>
      <w:color w:val="52317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DD"/>
    <w:pPr>
      <w:ind w:left="720"/>
      <w:contextualSpacing/>
    </w:pPr>
  </w:style>
  <w:style w:type="character" w:customStyle="1" w:styleId="Heading1Char">
    <w:name w:val="Heading 1 Char"/>
    <w:basedOn w:val="DefaultParagraphFont"/>
    <w:link w:val="Heading1"/>
    <w:uiPriority w:val="9"/>
    <w:rsid w:val="00851FDD"/>
    <w:rPr>
      <w:rFonts w:ascii="Arial" w:eastAsiaTheme="majorEastAsia" w:hAnsi="Arial" w:cstheme="majorBidi"/>
      <w:b/>
      <w:color w:val="2F5496" w:themeColor="accent1" w:themeShade="BF"/>
      <w:sz w:val="36"/>
      <w:szCs w:val="32"/>
    </w:rPr>
  </w:style>
  <w:style w:type="character" w:customStyle="1" w:styleId="Heading2Char">
    <w:name w:val="Heading 2 Char"/>
    <w:basedOn w:val="DefaultParagraphFont"/>
    <w:link w:val="Heading2"/>
    <w:uiPriority w:val="9"/>
    <w:rsid w:val="00851FDD"/>
    <w:rPr>
      <w:rFonts w:ascii="Arial" w:hAnsi="Arial"/>
      <w:b/>
      <w:bCs/>
      <w:color w:val="523178"/>
      <w:sz w:val="28"/>
      <w:szCs w:val="28"/>
    </w:rPr>
  </w:style>
  <w:style w:type="table" w:styleId="TableGrid">
    <w:name w:val="Table Grid"/>
    <w:basedOn w:val="TableNormal"/>
    <w:uiPriority w:val="39"/>
    <w:rsid w:val="0085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4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88"/>
    <w:rPr>
      <w:rFonts w:ascii="Segoe UI" w:hAnsi="Segoe UI" w:cs="Segoe UI"/>
      <w:sz w:val="18"/>
      <w:szCs w:val="18"/>
    </w:rPr>
  </w:style>
  <w:style w:type="character" w:styleId="CommentReference">
    <w:name w:val="annotation reference"/>
    <w:basedOn w:val="DefaultParagraphFont"/>
    <w:uiPriority w:val="99"/>
    <w:semiHidden/>
    <w:unhideWhenUsed/>
    <w:rsid w:val="003C6F64"/>
    <w:rPr>
      <w:sz w:val="16"/>
      <w:szCs w:val="16"/>
    </w:rPr>
  </w:style>
  <w:style w:type="paragraph" w:styleId="CommentText">
    <w:name w:val="annotation text"/>
    <w:basedOn w:val="Normal"/>
    <w:link w:val="CommentTextChar"/>
    <w:uiPriority w:val="99"/>
    <w:semiHidden/>
    <w:unhideWhenUsed/>
    <w:rsid w:val="003C6F64"/>
    <w:pPr>
      <w:spacing w:line="240" w:lineRule="auto"/>
    </w:pPr>
    <w:rPr>
      <w:sz w:val="20"/>
      <w:szCs w:val="20"/>
    </w:rPr>
  </w:style>
  <w:style w:type="character" w:customStyle="1" w:styleId="CommentTextChar">
    <w:name w:val="Comment Text Char"/>
    <w:basedOn w:val="DefaultParagraphFont"/>
    <w:link w:val="CommentText"/>
    <w:uiPriority w:val="99"/>
    <w:semiHidden/>
    <w:rsid w:val="003C6F64"/>
    <w:rPr>
      <w:sz w:val="20"/>
      <w:szCs w:val="20"/>
    </w:rPr>
  </w:style>
  <w:style w:type="paragraph" w:styleId="CommentSubject">
    <w:name w:val="annotation subject"/>
    <w:basedOn w:val="CommentText"/>
    <w:next w:val="CommentText"/>
    <w:link w:val="CommentSubjectChar"/>
    <w:uiPriority w:val="99"/>
    <w:semiHidden/>
    <w:unhideWhenUsed/>
    <w:rsid w:val="003C6F64"/>
    <w:rPr>
      <w:b/>
      <w:bCs/>
    </w:rPr>
  </w:style>
  <w:style w:type="character" w:customStyle="1" w:styleId="CommentSubjectChar">
    <w:name w:val="Comment Subject Char"/>
    <w:basedOn w:val="CommentTextChar"/>
    <w:link w:val="CommentSubject"/>
    <w:uiPriority w:val="99"/>
    <w:semiHidden/>
    <w:rsid w:val="003C6F64"/>
    <w:rPr>
      <w:b/>
      <w:bCs/>
      <w:sz w:val="20"/>
      <w:szCs w:val="20"/>
    </w:rPr>
  </w:style>
  <w:style w:type="paragraph" w:styleId="Header">
    <w:name w:val="header"/>
    <w:basedOn w:val="Normal"/>
    <w:link w:val="HeaderChar"/>
    <w:uiPriority w:val="99"/>
    <w:unhideWhenUsed/>
    <w:rsid w:val="00E37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759"/>
  </w:style>
  <w:style w:type="paragraph" w:styleId="Footer">
    <w:name w:val="footer"/>
    <w:basedOn w:val="Normal"/>
    <w:link w:val="FooterChar"/>
    <w:uiPriority w:val="99"/>
    <w:unhideWhenUsed/>
    <w:rsid w:val="00E37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759"/>
  </w:style>
  <w:style w:type="character" w:styleId="Hyperlink">
    <w:name w:val="Hyperlink"/>
    <w:basedOn w:val="DefaultParagraphFont"/>
    <w:uiPriority w:val="99"/>
    <w:unhideWhenUsed/>
    <w:rsid w:val="003416B5"/>
    <w:rPr>
      <w:color w:val="0563C1" w:themeColor="hyperlink"/>
      <w:u w:val="single"/>
    </w:rPr>
  </w:style>
  <w:style w:type="character" w:styleId="FollowedHyperlink">
    <w:name w:val="FollowedHyperlink"/>
    <w:basedOn w:val="DefaultParagraphFont"/>
    <w:uiPriority w:val="99"/>
    <w:semiHidden/>
    <w:unhideWhenUsed/>
    <w:rsid w:val="00341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409071">
      <w:bodyDiv w:val="1"/>
      <w:marLeft w:val="0"/>
      <w:marRight w:val="0"/>
      <w:marTop w:val="0"/>
      <w:marBottom w:val="0"/>
      <w:divBdr>
        <w:top w:val="none" w:sz="0" w:space="0" w:color="auto"/>
        <w:left w:val="none" w:sz="0" w:space="0" w:color="auto"/>
        <w:bottom w:val="none" w:sz="0" w:space="0" w:color="auto"/>
        <w:right w:val="none" w:sz="0" w:space="0" w:color="auto"/>
      </w:divBdr>
    </w:div>
    <w:div w:id="801581376">
      <w:bodyDiv w:val="1"/>
      <w:marLeft w:val="0"/>
      <w:marRight w:val="0"/>
      <w:marTop w:val="0"/>
      <w:marBottom w:val="0"/>
      <w:divBdr>
        <w:top w:val="none" w:sz="0" w:space="0" w:color="auto"/>
        <w:left w:val="none" w:sz="0" w:space="0" w:color="auto"/>
        <w:bottom w:val="none" w:sz="0" w:space="0" w:color="auto"/>
        <w:right w:val="none" w:sz="0" w:space="0" w:color="auto"/>
      </w:divBdr>
    </w:div>
    <w:div w:id="1164512893">
      <w:bodyDiv w:val="1"/>
      <w:marLeft w:val="0"/>
      <w:marRight w:val="0"/>
      <w:marTop w:val="0"/>
      <w:marBottom w:val="0"/>
      <w:divBdr>
        <w:top w:val="none" w:sz="0" w:space="0" w:color="auto"/>
        <w:left w:val="none" w:sz="0" w:space="0" w:color="auto"/>
        <w:bottom w:val="none" w:sz="0" w:space="0" w:color="auto"/>
        <w:right w:val="none" w:sz="0" w:space="0" w:color="auto"/>
      </w:divBdr>
    </w:div>
    <w:div w:id="11866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nysrenthelp.otda.ny.gov/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New York State ERAP Landlord Flyer-PO</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ERAP Landlord Flyer-PO</dc:title>
  <dc:subject>New York State Emergency Rental Assistance Program</dc:subject>
  <dc:creator>New York State Office of Temporary and Disability Assistance</dc:creator>
  <cp:keywords>ERAP, Emergency, Rental, Assistance, Program</cp:keywords>
  <dc:description/>
  <cp:lastModifiedBy>Sober, Andrew (OTDA)</cp:lastModifiedBy>
  <cp:revision>14</cp:revision>
  <dcterms:created xsi:type="dcterms:W3CDTF">2021-08-12T18:55:00Z</dcterms:created>
  <dcterms:modified xsi:type="dcterms:W3CDTF">2021-08-18T15:23:00Z</dcterms:modified>
</cp:coreProperties>
</file>