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564F" w14:textId="1CF1CEFD" w:rsidR="009305F5" w:rsidRPr="000638E1" w:rsidRDefault="00860252" w:rsidP="000638E1">
      <w:pPr>
        <w:pStyle w:val="Heading1"/>
        <w:spacing w:after="120"/>
      </w:pPr>
      <w:r w:rsidRPr="000638E1">
        <w:rPr>
          <w:bCs/>
          <w:noProof/>
          <w:lang w:val="fr-FR"/>
        </w:rPr>
        <w:drawing>
          <wp:inline distT="0" distB="0" distL="0" distR="0" wp14:anchorId="28C93DD9" wp14:editId="2C0C09CE">
            <wp:extent cx="6853912" cy="3666843"/>
            <wp:effectExtent l="0" t="0" r="4445" b="0"/>
            <wp:docPr id="1" name="Picture 1" descr="L’AIDE EST ICI,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IDE EST ICI, NY"/>
                    <pic:cNvPicPr/>
                  </pic:nvPicPr>
                  <pic:blipFill>
                    <a:blip r:embed="rId7">
                      <a:extLst>
                        <a:ext uri="{28A0092B-C50C-407E-A947-70E740481C1C}">
                          <a14:useLocalDpi xmlns:a14="http://schemas.microsoft.com/office/drawing/2010/main" val="0"/>
                        </a:ext>
                      </a:extLst>
                    </a:blip>
                    <a:stretch>
                      <a:fillRect/>
                    </a:stretch>
                  </pic:blipFill>
                  <pic:spPr>
                    <a:xfrm>
                      <a:off x="0" y="0"/>
                      <a:ext cx="6853912" cy="3666843"/>
                    </a:xfrm>
                    <a:prstGeom prst="rect">
                      <a:avLst/>
                    </a:prstGeom>
                  </pic:spPr>
                </pic:pic>
              </a:graphicData>
            </a:graphic>
          </wp:inline>
        </w:drawing>
      </w:r>
    </w:p>
    <w:p w14:paraId="4DBE448F" w14:textId="77777777" w:rsidR="00585ABE" w:rsidRDefault="003A1880" w:rsidP="00585ABE">
      <w:pPr>
        <w:spacing w:after="0" w:line="380" w:lineRule="exact"/>
        <w:rPr>
          <w:rFonts w:ascii="Arial" w:hAnsi="Arial"/>
          <w:color w:val="523178"/>
          <w:sz w:val="32"/>
          <w:szCs w:val="32"/>
          <w:lang w:val="fr-FR"/>
        </w:rPr>
      </w:pPr>
      <w:r w:rsidRPr="000638E1">
        <w:rPr>
          <w:rFonts w:ascii="Arial" w:hAnsi="Arial"/>
          <w:b/>
          <w:bCs/>
          <w:color w:val="523178"/>
          <w:sz w:val="40"/>
          <w:szCs w:val="40"/>
          <w:lang w:val="fr-FR"/>
        </w:rPr>
        <w:t xml:space="preserve">La COVID-19 vous retarde vraiment. Vous vous demandez tous les jours - </w:t>
      </w:r>
      <w:r w:rsidRPr="000638E1">
        <w:rPr>
          <w:rFonts w:ascii="Arial" w:hAnsi="Arial"/>
          <w:color w:val="523178"/>
          <w:sz w:val="40"/>
          <w:szCs w:val="40"/>
          <w:lang w:val="fr-FR"/>
        </w:rPr>
        <w:br/>
      </w:r>
      <w:r w:rsidRPr="000638E1">
        <w:rPr>
          <w:rFonts w:ascii="Arial" w:hAnsi="Arial"/>
          <w:b/>
          <w:bCs/>
          <w:color w:val="523178"/>
          <w:sz w:val="40"/>
          <w:szCs w:val="40"/>
          <w:lang w:val="fr-FR"/>
        </w:rPr>
        <w:t xml:space="preserve">« Comment puis-je tenir le coup ? » L’aide est ici. </w:t>
      </w:r>
    </w:p>
    <w:p w14:paraId="79E12673" w14:textId="0CD7CC1E" w:rsidR="003A1880" w:rsidRPr="00585ABE" w:rsidRDefault="003A1880" w:rsidP="00585ABE">
      <w:pPr>
        <w:spacing w:after="0" w:line="320" w:lineRule="exact"/>
        <w:rPr>
          <w:rFonts w:ascii="Arial" w:hAnsi="Arial"/>
          <w:b/>
          <w:bCs/>
          <w:color w:val="523178"/>
          <w:sz w:val="40"/>
          <w:szCs w:val="40"/>
          <w:lang w:val="fr-FR"/>
        </w:rPr>
      </w:pPr>
      <w:r w:rsidRPr="000638E1">
        <w:rPr>
          <w:rFonts w:ascii="Arial" w:hAnsi="Arial"/>
          <w:b/>
          <w:bCs/>
          <w:sz w:val="28"/>
          <w:szCs w:val="28"/>
          <w:lang w:val="fr-FR"/>
        </w:rPr>
        <w:t>Vous pouvez être admissible au programme d’aide au loyer d’urgence de l’État de New York</w:t>
      </w:r>
    </w:p>
    <w:p w14:paraId="32023E20" w14:textId="2F422BC4" w:rsidR="007D7D77" w:rsidRPr="000638E1" w:rsidRDefault="003A60CF" w:rsidP="00585ABE">
      <w:pPr>
        <w:spacing w:after="60" w:line="240" w:lineRule="exact"/>
        <w:rPr>
          <w:rFonts w:ascii="Arial" w:hAnsi="Arial"/>
        </w:rPr>
      </w:pPr>
      <w:r w:rsidRPr="000638E1">
        <w:rPr>
          <w:rFonts w:ascii="Arial" w:hAnsi="Arial"/>
          <w:lang w:val="fr-FR"/>
        </w:rPr>
        <w:t xml:space="preserve">Le programme d’aide au loyer d’urgence (Emergency </w:t>
      </w:r>
      <w:proofErr w:type="spellStart"/>
      <w:r w:rsidRPr="000638E1">
        <w:rPr>
          <w:rFonts w:ascii="Arial" w:hAnsi="Arial"/>
          <w:lang w:val="fr-FR"/>
        </w:rPr>
        <w:t>Rental</w:t>
      </w:r>
      <w:proofErr w:type="spellEnd"/>
      <w:r w:rsidRPr="000638E1">
        <w:rPr>
          <w:rFonts w:ascii="Arial" w:hAnsi="Arial"/>
          <w:lang w:val="fr-FR"/>
        </w:rPr>
        <w:t xml:space="preserve"> Assistance Program, ERAP) aide les foyers en retard de paiement de leur loyer qui ont connu des difficultés financières en raison du COVID-19 et risquent de se retrouver sans abri ou de connaître une instabilité en matière de logement. En outre, le programme peut fournir une aide au loyer temporaire et une aide pour les factures de service non payées.</w:t>
      </w:r>
    </w:p>
    <w:p w14:paraId="115629A8" w14:textId="77777777" w:rsidR="00860252" w:rsidRPr="000638E1" w:rsidRDefault="00860252" w:rsidP="000638E1">
      <w:pPr>
        <w:spacing w:after="0" w:line="240" w:lineRule="exact"/>
        <w:rPr>
          <w:rFonts w:ascii="Arial" w:hAnsi="Arial"/>
        </w:rPr>
      </w:pPr>
      <w:r w:rsidRPr="000638E1">
        <w:rPr>
          <w:rFonts w:ascii="Arial" w:hAnsi="Arial"/>
          <w:lang w:val="fr-FR"/>
        </w:rPr>
        <w:t>Les résidents admissibles doivent répondre aux critères suivants :</w:t>
      </w:r>
    </w:p>
    <w:p w14:paraId="3188DB3D" w14:textId="5EA83961" w:rsidR="00860252" w:rsidRPr="00BF4A74" w:rsidRDefault="003A60CF" w:rsidP="000638E1">
      <w:pPr>
        <w:pStyle w:val="ListParagraph"/>
        <w:numPr>
          <w:ilvl w:val="0"/>
          <w:numId w:val="1"/>
        </w:numPr>
        <w:spacing w:after="120" w:line="240" w:lineRule="exact"/>
        <w:ind w:right="450"/>
        <w:rPr>
          <w:rFonts w:ascii="Arial" w:hAnsi="Arial"/>
          <w:lang w:val="es-ES"/>
        </w:rPr>
      </w:pPr>
      <w:r w:rsidRPr="000638E1">
        <w:rPr>
          <w:rFonts w:ascii="Arial" w:hAnsi="Arial"/>
          <w:lang w:val="fr-FR"/>
        </w:rPr>
        <w:t xml:space="preserve">Revenu brut du foyer inférieur ou égal à 80 % du revenu médian de la zone, qui varie en fonction du comté et de la taille du foyer.   </w:t>
      </w:r>
    </w:p>
    <w:p w14:paraId="6A4F7864" w14:textId="6F56444D" w:rsidR="00860252" w:rsidRPr="00BF4A74" w:rsidRDefault="00860252" w:rsidP="000638E1">
      <w:pPr>
        <w:pStyle w:val="ListParagraph"/>
        <w:numPr>
          <w:ilvl w:val="0"/>
          <w:numId w:val="1"/>
        </w:numPr>
        <w:spacing w:after="120" w:line="240" w:lineRule="exact"/>
        <w:ind w:right="450"/>
        <w:rPr>
          <w:rFonts w:ascii="Arial" w:hAnsi="Arial"/>
          <w:lang w:val="es-ES"/>
        </w:rPr>
      </w:pPr>
      <w:r w:rsidRPr="000638E1">
        <w:rPr>
          <w:rFonts w:ascii="Arial" w:hAnsi="Arial"/>
          <w:lang w:val="fr-FR"/>
        </w:rPr>
        <w:t>Un membre du foyer a reçu des allocations chômage ou vu ses revenus salaire baisser, encouru des coûts importants ou connu des difficultés financières, directement ou indirectement, en raison de la pandémie de COVID-19.</w:t>
      </w:r>
    </w:p>
    <w:p w14:paraId="3EB432B6" w14:textId="337887E5" w:rsidR="007D7D77" w:rsidRPr="000638E1" w:rsidRDefault="0033438B" w:rsidP="000638E1">
      <w:pPr>
        <w:pStyle w:val="ListParagraph"/>
        <w:numPr>
          <w:ilvl w:val="0"/>
          <w:numId w:val="1"/>
        </w:numPr>
        <w:spacing w:after="80" w:line="240" w:lineRule="exact"/>
        <w:ind w:right="446"/>
      </w:pPr>
      <w:r w:rsidRPr="000638E1">
        <w:rPr>
          <w:rFonts w:ascii="Arial" w:hAnsi="Arial"/>
          <w:lang w:val="fr-FR"/>
        </w:rPr>
        <w:t>Le demandeur doit des loyers en retard dans sa résidence actuelle.</w:t>
      </w:r>
    </w:p>
    <w:p w14:paraId="43BECDA0" w14:textId="57C6B648" w:rsidR="0059072A" w:rsidRPr="000638E1" w:rsidRDefault="0059072A" w:rsidP="000B2064">
      <w:pPr>
        <w:spacing w:line="240" w:lineRule="auto"/>
        <w:sectPr w:rsidR="0059072A" w:rsidRPr="000638E1" w:rsidSect="00860252">
          <w:pgSz w:w="12240" w:h="15840"/>
          <w:pgMar w:top="720" w:right="720" w:bottom="720" w:left="720" w:header="720" w:footer="720" w:gutter="0"/>
          <w:cols w:space="720"/>
          <w:docGrid w:linePitch="360"/>
        </w:sectPr>
      </w:pPr>
    </w:p>
    <w:p w14:paraId="3090FC8E" w14:textId="2E45AD11" w:rsidR="00851FDD" w:rsidRPr="00BF4A74" w:rsidRDefault="006D4625" w:rsidP="000638E1">
      <w:pPr>
        <w:spacing w:after="0" w:line="240" w:lineRule="exact"/>
        <w:rPr>
          <w:rFonts w:ascii="Arial" w:hAnsi="Arial"/>
          <w:lang w:val="fr-FR"/>
        </w:rPr>
      </w:pPr>
      <w:r w:rsidRPr="000638E1">
        <w:rPr>
          <w:rFonts w:ascii="Arial" w:hAnsi="Arial"/>
          <w:lang w:val="fr-FR"/>
        </w:rPr>
        <w:t xml:space="preserve">Cette aide peut payer jusqu’à </w:t>
      </w:r>
      <w:r w:rsidRPr="000638E1">
        <w:rPr>
          <w:rFonts w:ascii="Arial" w:hAnsi="Arial"/>
          <w:b/>
          <w:bCs/>
          <w:lang w:val="fr-FR"/>
        </w:rPr>
        <w:t xml:space="preserve">12 mois de loyers en retard </w:t>
      </w:r>
      <w:r w:rsidRPr="000638E1">
        <w:rPr>
          <w:rFonts w:ascii="Arial" w:hAnsi="Arial"/>
          <w:lang w:val="fr-FR"/>
        </w:rPr>
        <w:t xml:space="preserve">et pour certains foyers, payer jusqu’à </w:t>
      </w:r>
      <w:r w:rsidRPr="000638E1">
        <w:rPr>
          <w:rFonts w:ascii="Arial" w:hAnsi="Arial"/>
          <w:b/>
          <w:bCs/>
          <w:lang w:val="fr-FR"/>
        </w:rPr>
        <w:t>3 mois de futurs loyers.</w:t>
      </w:r>
      <w:r w:rsidRPr="000638E1">
        <w:rPr>
          <w:rFonts w:ascii="Arial" w:hAnsi="Arial"/>
          <w:lang w:val="fr-FR"/>
        </w:rPr>
        <w:t xml:space="preserve"> Le programme peut également payer jusqu’à </w:t>
      </w:r>
      <w:r w:rsidRPr="000638E1">
        <w:rPr>
          <w:rFonts w:ascii="Arial" w:hAnsi="Arial"/>
          <w:b/>
          <w:bCs/>
          <w:lang w:val="fr-FR"/>
        </w:rPr>
        <w:t>12 mois de factures d’électricité ou de gaz impayées.</w:t>
      </w:r>
      <w:r w:rsidRPr="000638E1">
        <w:rPr>
          <w:rFonts w:ascii="Arial" w:hAnsi="Arial"/>
          <w:lang w:val="fr-FR"/>
        </w:rPr>
        <w:t xml:space="preserve"> Veuillez noter que les paiements seront toujours effectués directement au propriétaire ou au fournisseur du service.</w:t>
      </w:r>
    </w:p>
    <w:p w14:paraId="5118CEBE" w14:textId="77777777" w:rsidR="006D4625" w:rsidRPr="00BF4A74" w:rsidRDefault="006D4625" w:rsidP="000B2064">
      <w:pPr>
        <w:spacing w:after="0" w:line="240" w:lineRule="auto"/>
        <w:rPr>
          <w:rFonts w:ascii="Arial" w:hAnsi="Arial"/>
          <w:sz w:val="6"/>
          <w:szCs w:val="6"/>
          <w:lang w:val="fr-FR"/>
        </w:rPr>
      </w:pPr>
    </w:p>
    <w:p w14:paraId="66E957D3" w14:textId="0E48CF37" w:rsidR="00851FDD" w:rsidRPr="000638E1" w:rsidRDefault="006D4625" w:rsidP="00585ABE">
      <w:pPr>
        <w:spacing w:after="20" w:line="240" w:lineRule="exact"/>
        <w:rPr>
          <w:rFonts w:ascii="Arial" w:hAnsi="Arial"/>
          <w:b/>
          <w:bCs/>
        </w:rPr>
      </w:pPr>
      <w:r w:rsidRPr="000638E1">
        <w:rPr>
          <w:rFonts w:ascii="Arial" w:hAnsi="Arial"/>
          <w:b/>
          <w:bCs/>
          <w:lang w:val="fr-FR"/>
        </w:rPr>
        <w:t xml:space="preserve">Les demandes peuvent être soumises en ligne à l’adresse </w:t>
      </w:r>
      <w:hyperlink r:id="rId8" w:history="1">
        <w:r w:rsidRPr="000638E1">
          <w:rPr>
            <w:rStyle w:val="Hyperlink"/>
            <w:rFonts w:ascii="Arial" w:hAnsi="Arial"/>
            <w:b/>
            <w:bCs/>
            <w:lang w:val="fr-FR"/>
          </w:rPr>
          <w:t>nysrenthelp.otda.ny.gov</w:t>
        </w:r>
      </w:hyperlink>
      <w:r w:rsidRPr="000638E1">
        <w:rPr>
          <w:rFonts w:ascii="Arial" w:hAnsi="Arial"/>
          <w:b/>
          <w:bCs/>
          <w:lang w:val="fr-FR"/>
        </w:rPr>
        <w:t>.</w:t>
      </w:r>
    </w:p>
    <w:tbl>
      <w:tblPr>
        <w:tblStyle w:val="TableGrid"/>
        <w:tblW w:w="5030" w:type="dxa"/>
        <w:tblInd w:w="-3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5030"/>
      </w:tblGrid>
      <w:tr w:rsidR="00851FDD" w:rsidRPr="000638E1" w14:paraId="11E05A3B" w14:textId="77777777" w:rsidTr="00B87EC4">
        <w:trPr>
          <w:trHeight w:val="2010"/>
        </w:trPr>
        <w:tc>
          <w:tcPr>
            <w:tcW w:w="503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6F4053EB" w14:textId="518E26FF" w:rsidR="00851FDD" w:rsidRPr="000638E1" w:rsidRDefault="00851FDD" w:rsidP="00851FDD">
            <w:pPr>
              <w:rPr>
                <w:rFonts w:ascii="Arial" w:hAnsi="Arial"/>
              </w:rPr>
            </w:pPr>
            <w:r w:rsidRPr="000638E1">
              <w:rPr>
                <w:rFonts w:ascii="Arial" w:hAnsi="Arial"/>
              </w:rPr>
              <w:t>[Insert logo and contact info here]</w:t>
            </w:r>
          </w:p>
        </w:tc>
      </w:tr>
    </w:tbl>
    <w:p w14:paraId="2F7808C6" w14:textId="77777777" w:rsidR="007D7D77" w:rsidRPr="000638E1" w:rsidRDefault="007D7D77" w:rsidP="000B2064">
      <w:pPr>
        <w:spacing w:after="120" w:line="240" w:lineRule="auto"/>
      </w:pPr>
    </w:p>
    <w:p w14:paraId="08CCF2C7" w14:textId="4F3E98C8" w:rsidR="007D7D77" w:rsidRPr="000638E1" w:rsidRDefault="007D7D77">
      <w:pPr>
        <w:sectPr w:rsidR="007D7D77" w:rsidRPr="000638E1" w:rsidSect="000638E1">
          <w:type w:val="continuous"/>
          <w:pgSz w:w="12240" w:h="15840"/>
          <w:pgMar w:top="720" w:right="720" w:bottom="630" w:left="720" w:header="720" w:footer="720" w:gutter="0"/>
          <w:cols w:num="2" w:space="720"/>
          <w:docGrid w:linePitch="360"/>
        </w:sectPr>
      </w:pPr>
    </w:p>
    <w:p w14:paraId="36056E3B" w14:textId="77777777" w:rsidR="00540A02" w:rsidRPr="000638E1" w:rsidRDefault="00540A02" w:rsidP="00585ABE">
      <w:pPr>
        <w:spacing w:before="120" w:after="0" w:line="240" w:lineRule="auto"/>
        <w:rPr>
          <w:rFonts w:ascii="Arial" w:hAnsi="Arial"/>
          <w:sz w:val="16"/>
          <w:szCs w:val="16"/>
        </w:rPr>
      </w:pPr>
      <w:r w:rsidRPr="000638E1">
        <w:rPr>
          <w:rFonts w:ascii="Arial" w:hAnsi="Arial"/>
          <w:noProof/>
          <w:sz w:val="16"/>
          <w:szCs w:val="16"/>
          <w:lang w:val="fr-FR"/>
        </w:rPr>
        <w:drawing>
          <wp:inline distT="0" distB="0" distL="0" distR="0" wp14:anchorId="2EC2FCBC" wp14:editId="621D09D9">
            <wp:extent cx="6858000" cy="685800"/>
            <wp:effectExtent l="0" t="0" r="0" b="0"/>
            <wp:docPr id="3" name="Picture 3" descr="Pour plus d’informations, consultez otda.ny.gov/ERAP ou appelez au 844-NY1RENT (844-691-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or more information, visit otda.ny.gov/ERAP or call 844-NY1RENT (844-691-7368)"/>
                    <pic:cNvPicPr/>
                  </pic:nvPicPr>
                  <pic:blipFill>
                    <a:blip r:embed="rId9">
                      <a:extLst>
                        <a:ext uri="{28A0092B-C50C-407E-A947-70E740481C1C}">
                          <a14:useLocalDpi xmlns:a14="http://schemas.microsoft.com/office/drawing/2010/main" val="0"/>
                        </a:ext>
                      </a:extLst>
                    </a:blip>
                    <a:stretch>
                      <a:fillRect/>
                    </a:stretch>
                  </pic:blipFill>
                  <pic:spPr>
                    <a:xfrm>
                      <a:off x="0" y="0"/>
                      <a:ext cx="6858000" cy="685800"/>
                    </a:xfrm>
                    <a:prstGeom prst="rect">
                      <a:avLst/>
                    </a:prstGeom>
                  </pic:spPr>
                </pic:pic>
              </a:graphicData>
            </a:graphic>
          </wp:inline>
        </w:drawing>
      </w:r>
    </w:p>
    <w:p w14:paraId="1777893B" w14:textId="2B033B44" w:rsidR="00013D1B" w:rsidRPr="000638E1" w:rsidRDefault="00E074B3" w:rsidP="003A1880">
      <w:pPr>
        <w:spacing w:before="120" w:after="0" w:line="240" w:lineRule="auto"/>
        <w:rPr>
          <w:rFonts w:ascii="Arial" w:hAnsi="Arial"/>
          <w:sz w:val="16"/>
          <w:szCs w:val="16"/>
        </w:rPr>
      </w:pPr>
      <w:r w:rsidRPr="000638E1">
        <w:rPr>
          <w:rFonts w:ascii="Arial" w:hAnsi="Arial"/>
          <w:sz w:val="16"/>
          <w:szCs w:val="16"/>
          <w:lang w:val="fr-FR"/>
        </w:rPr>
        <w:t>(</w:t>
      </w:r>
      <w:proofErr w:type="spellStart"/>
      <w:r w:rsidRPr="000638E1">
        <w:rPr>
          <w:rFonts w:ascii="Arial" w:hAnsi="Arial"/>
          <w:sz w:val="16"/>
          <w:szCs w:val="16"/>
          <w:lang w:val="fr-FR"/>
        </w:rPr>
        <w:t>Rev</w:t>
      </w:r>
      <w:proofErr w:type="spellEnd"/>
      <w:r w:rsidRPr="000638E1">
        <w:rPr>
          <w:rFonts w:ascii="Arial" w:hAnsi="Arial"/>
          <w:sz w:val="16"/>
          <w:szCs w:val="16"/>
          <w:lang w:val="fr-FR"/>
        </w:rPr>
        <w:t>. 08/21)</w:t>
      </w:r>
    </w:p>
    <w:sectPr w:rsidR="00013D1B" w:rsidRPr="000638E1" w:rsidSect="00585ABE">
      <w:type w:val="continuous"/>
      <w:pgSz w:w="12240" w:h="15840"/>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B0E1" w14:textId="77777777" w:rsidR="008757AA" w:rsidRDefault="008757AA" w:rsidP="004E7A0A">
      <w:pPr>
        <w:spacing w:after="0" w:line="240" w:lineRule="auto"/>
      </w:pPr>
      <w:r>
        <w:separator/>
      </w:r>
    </w:p>
  </w:endnote>
  <w:endnote w:type="continuationSeparator" w:id="0">
    <w:p w14:paraId="1500D61F" w14:textId="77777777" w:rsidR="008757AA" w:rsidRDefault="008757AA" w:rsidP="004E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27EA" w14:textId="77777777" w:rsidR="008757AA" w:rsidRDefault="008757AA" w:rsidP="004E7A0A">
      <w:pPr>
        <w:spacing w:after="0" w:line="240" w:lineRule="auto"/>
      </w:pPr>
      <w:r>
        <w:separator/>
      </w:r>
    </w:p>
  </w:footnote>
  <w:footnote w:type="continuationSeparator" w:id="0">
    <w:p w14:paraId="4BE32312" w14:textId="77777777" w:rsidR="008757AA" w:rsidRDefault="008757AA" w:rsidP="004E7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06AE2"/>
    <w:rsid w:val="00013D1B"/>
    <w:rsid w:val="00040F3A"/>
    <w:rsid w:val="000638E1"/>
    <w:rsid w:val="000B2064"/>
    <w:rsid w:val="001A42B7"/>
    <w:rsid w:val="001F1E36"/>
    <w:rsid w:val="002565E4"/>
    <w:rsid w:val="00256B39"/>
    <w:rsid w:val="002C4F84"/>
    <w:rsid w:val="0033438B"/>
    <w:rsid w:val="003A1880"/>
    <w:rsid w:val="003A3C63"/>
    <w:rsid w:val="003A60CF"/>
    <w:rsid w:val="004046F5"/>
    <w:rsid w:val="004E1EF4"/>
    <w:rsid w:val="004E6ACE"/>
    <w:rsid w:val="004E7A0A"/>
    <w:rsid w:val="005365FF"/>
    <w:rsid w:val="00540A02"/>
    <w:rsid w:val="005442B6"/>
    <w:rsid w:val="00576DB0"/>
    <w:rsid w:val="00585ABE"/>
    <w:rsid w:val="0059072A"/>
    <w:rsid w:val="005B31BB"/>
    <w:rsid w:val="0061278C"/>
    <w:rsid w:val="006378C5"/>
    <w:rsid w:val="006D4625"/>
    <w:rsid w:val="006E028E"/>
    <w:rsid w:val="007102BD"/>
    <w:rsid w:val="007911E5"/>
    <w:rsid w:val="007B7E29"/>
    <w:rsid w:val="007D7D77"/>
    <w:rsid w:val="0080282A"/>
    <w:rsid w:val="00851FDD"/>
    <w:rsid w:val="00860252"/>
    <w:rsid w:val="008757AA"/>
    <w:rsid w:val="00886D5E"/>
    <w:rsid w:val="009305F5"/>
    <w:rsid w:val="00996A34"/>
    <w:rsid w:val="00A253A5"/>
    <w:rsid w:val="00A635CC"/>
    <w:rsid w:val="00A83DF1"/>
    <w:rsid w:val="00AB5D0A"/>
    <w:rsid w:val="00AD058B"/>
    <w:rsid w:val="00AF54D2"/>
    <w:rsid w:val="00B87EC4"/>
    <w:rsid w:val="00B9762E"/>
    <w:rsid w:val="00BB3C47"/>
    <w:rsid w:val="00BC358B"/>
    <w:rsid w:val="00BF188D"/>
    <w:rsid w:val="00BF4A74"/>
    <w:rsid w:val="00CC4378"/>
    <w:rsid w:val="00CD6AD9"/>
    <w:rsid w:val="00D64454"/>
    <w:rsid w:val="00DA4E1C"/>
    <w:rsid w:val="00E074B3"/>
    <w:rsid w:val="00EB4888"/>
    <w:rsid w:val="00ED3EDC"/>
    <w:rsid w:val="00F22FED"/>
    <w:rsid w:val="00F475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0B2064"/>
    <w:rPr>
      <w:sz w:val="16"/>
      <w:szCs w:val="16"/>
    </w:rPr>
  </w:style>
  <w:style w:type="paragraph" w:styleId="CommentText">
    <w:name w:val="annotation text"/>
    <w:basedOn w:val="Normal"/>
    <w:link w:val="CommentTextChar"/>
    <w:uiPriority w:val="99"/>
    <w:semiHidden/>
    <w:unhideWhenUsed/>
    <w:rsid w:val="000B2064"/>
    <w:pPr>
      <w:spacing w:line="240" w:lineRule="auto"/>
    </w:pPr>
    <w:rPr>
      <w:sz w:val="20"/>
      <w:szCs w:val="20"/>
    </w:rPr>
  </w:style>
  <w:style w:type="character" w:customStyle="1" w:styleId="CommentTextChar">
    <w:name w:val="Comment Text Char"/>
    <w:basedOn w:val="DefaultParagraphFont"/>
    <w:link w:val="CommentText"/>
    <w:uiPriority w:val="99"/>
    <w:semiHidden/>
    <w:rsid w:val="000B2064"/>
    <w:rPr>
      <w:sz w:val="20"/>
      <w:szCs w:val="20"/>
    </w:rPr>
  </w:style>
  <w:style w:type="paragraph" w:styleId="CommentSubject">
    <w:name w:val="annotation subject"/>
    <w:basedOn w:val="CommentText"/>
    <w:next w:val="CommentText"/>
    <w:link w:val="CommentSubjectChar"/>
    <w:uiPriority w:val="99"/>
    <w:semiHidden/>
    <w:unhideWhenUsed/>
    <w:rsid w:val="000B2064"/>
    <w:rPr>
      <w:b/>
      <w:bCs/>
    </w:rPr>
  </w:style>
  <w:style w:type="character" w:customStyle="1" w:styleId="CommentSubjectChar">
    <w:name w:val="Comment Subject Char"/>
    <w:basedOn w:val="CommentTextChar"/>
    <w:link w:val="CommentSubject"/>
    <w:uiPriority w:val="99"/>
    <w:semiHidden/>
    <w:rsid w:val="000B2064"/>
    <w:rPr>
      <w:b/>
      <w:bCs/>
      <w:sz w:val="20"/>
      <w:szCs w:val="20"/>
    </w:rPr>
  </w:style>
  <w:style w:type="character" w:styleId="Hyperlink">
    <w:name w:val="Hyperlink"/>
    <w:basedOn w:val="DefaultParagraphFont"/>
    <w:uiPriority w:val="99"/>
    <w:unhideWhenUsed/>
    <w:rsid w:val="00DA4E1C"/>
    <w:rPr>
      <w:color w:val="0563C1" w:themeColor="hyperlink"/>
      <w:u w:val="single"/>
    </w:rPr>
  </w:style>
  <w:style w:type="character" w:styleId="UnresolvedMention">
    <w:name w:val="Unresolved Mention"/>
    <w:basedOn w:val="DefaultParagraphFont"/>
    <w:uiPriority w:val="99"/>
    <w:semiHidden/>
    <w:unhideWhenUsed/>
    <w:rsid w:val="00DA4E1C"/>
    <w:rPr>
      <w:color w:val="605E5C"/>
      <w:shd w:val="clear" w:color="auto" w:fill="E1DFDD"/>
    </w:rPr>
  </w:style>
  <w:style w:type="paragraph" w:styleId="Header">
    <w:name w:val="header"/>
    <w:basedOn w:val="Normal"/>
    <w:link w:val="HeaderChar"/>
    <w:uiPriority w:val="99"/>
    <w:unhideWhenUsed/>
    <w:rsid w:val="004E7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A0A"/>
  </w:style>
  <w:style w:type="paragraph" w:styleId="Footer">
    <w:name w:val="footer"/>
    <w:basedOn w:val="Normal"/>
    <w:link w:val="FooterChar"/>
    <w:uiPriority w:val="99"/>
    <w:unhideWhenUsed/>
    <w:rsid w:val="004E7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renthelp.otda.ny.gov/e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1407</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New York State ERAP Tenant Flyer-FR</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Tenant Flyer-FR</dc:title>
  <dc:subject>New York State Emergency Rental Assistance Program-FR</dc:subject>
  <dc:creator>New York State Office of Temporary and Disability Assistance</dc:creator>
  <cp:keywords>ERAP, Emergency, Rental, Assistance, Program-FR</cp:keywords>
  <dc:description/>
  <cp:lastModifiedBy>Pierce, Jonathan (OTDA)</cp:lastModifiedBy>
  <cp:revision>2</cp:revision>
  <dcterms:created xsi:type="dcterms:W3CDTF">2022-09-15T15:41:00Z</dcterms:created>
  <dcterms:modified xsi:type="dcterms:W3CDTF">2022-09-15T15:41:00Z</dcterms:modified>
</cp:coreProperties>
</file>